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22D76" w:rsidRPr="00AF2D8C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22D76" w:rsidRPr="00AF2D8C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Računovodstvo neprofitnih organizacija</w:t>
            </w:r>
          </w:p>
        </w:tc>
      </w:tr>
      <w:tr w:rsidR="00722D76" w:rsidRPr="00AF2D8C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22D76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Doc. dr. sc. Andrijana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22D76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76" w:rsidRPr="00AF2D8C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Upoznavanje studenata s teoretskim postavkama o računovodstvu neprofitnih organizacija i računovodstvu proračuna s  primjenom tih postavki u računovodstvu neprofitnih organizacija i proračuna.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studiranju.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Primijeniti temeljna računovodstvena načela u računovodstvu neprofitnih organizacija i računovodstvu proračuna </w:t>
            </w:r>
          </w:p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22D76" w:rsidRPr="00AF2D8C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:rsidR="00722D76" w:rsidRPr="00AF2D8C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Razlikovati temeljne postavke neprofitnih organizacija i proračuna </w:t>
            </w:r>
          </w:p>
          <w:p w:rsidR="00722D76" w:rsidRPr="00AF2D8C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Razlikovati računovodstvene sustave neprofitnih organizacija i proračuna </w:t>
            </w:r>
          </w:p>
          <w:p w:rsidR="00722D76" w:rsidRPr="00AF2D8C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Kategorizirati temeljne statičke i dinamičke elemente financijskih izvještaja neprofitnih organizacija i proračuna</w:t>
            </w:r>
          </w:p>
          <w:p w:rsidR="00722D76" w:rsidRPr="00AF2D8C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Kategorizirati temeljne financijske izvještaje neprofitnih organizacija i proračuna</w:t>
            </w:r>
          </w:p>
          <w:p w:rsidR="00722D76" w:rsidRPr="00AF2D8C" w:rsidRDefault="00722D76" w:rsidP="00722D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Vrjednovati poslovne događaje sukladno računskom planu za neprofitne organizacije i računskom planu za proračun </w:t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1"/>
              <w:gridCol w:w="567"/>
              <w:gridCol w:w="3119"/>
              <w:gridCol w:w="567"/>
            </w:tblGrid>
            <w:tr w:rsidR="00722D76" w:rsidRPr="00AF2D8C" w:rsidTr="005F5D8A">
              <w:tc>
                <w:tcPr>
                  <w:tcW w:w="3758" w:type="dxa"/>
                  <w:gridSpan w:val="2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koncept i sadržaj predmeta; Pojam i sadržaj računovodstva neprofitnih organizacija i računovodstva proračuna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Propisi koji reguliraju računovodstvo neprofitnih organizacija i računovodstvo proračuna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Uloga, značenje i povezanost različitih sustava računovodstva u Hrvatskoj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Sličnosti i razlike računovodstva neprofitnih institucija i računovodstva proračuna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Knjigovodstvene isprave, Porezni propisi i čuvanje dokumentacije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Financijski izvještaji neprofitnih nevladinih organizacija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Velike i male neprofitne organizacije, Temeljna računovodstvena načela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Evidencija nabave, otuđenja i ispravka vrijednosti nefinancijske imovine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Procjenjivanje bilančnih pozicija, Priznavanje prihoda i rashoda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promjena na financijskoj imovini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Računski plan neprofitnih organizacija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Evidencija obveza i rashoda neprofitnih organizacija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Temeljni financijski izvještaji neprofitnih organizacija,  Utvrđivanje financijskog rezultata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Recipročni i nerecipročni prihodi, Evidencija i priznavanje prihoda, Utvrđivanje viška/manjka prihoda nad rashodima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Oporezivanje neprofitnih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organizacija PDV-om i ostalim porezima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Prvi sat ponavljanje za test,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Drugi sat test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Računski plan za proračun i proračunske korisnike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Financijski izvještaji proračuna i proračunskih korisnika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Evidencija dugotrajne nefinancijske  imovine kod proračuna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Knjiženje dugotrajne financijske inefinancijske imovine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Evidencija financijske imovine i financijsko poslovanje kod proračuna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Utvrđivanje financijskog rezultata proračuna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kratkotrajne imovine i obveza proračuna 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Uloga javne nabave u proračunu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Modificirano načelo nastanka događaja – evidencija prihoda i rashoda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Fiskalna odgovornost u proračunu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financijskog rezultata 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2D76" w:rsidRPr="00AF2D8C" w:rsidTr="005F5D8A">
              <w:tc>
                <w:tcPr>
                  <w:tcW w:w="3191" w:type="dxa"/>
                  <w:tcBorders>
                    <w:left w:val="nil"/>
                  </w:tcBorders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Novi javni menadžment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Prvi sat ponavljanje za test, drugi sat test</w:t>
                  </w:r>
                </w:p>
              </w:tc>
              <w:tc>
                <w:tcPr>
                  <w:tcW w:w="567" w:type="dxa"/>
                </w:tcPr>
                <w:p w:rsidR="00722D76" w:rsidRPr="00AF2D8C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76" w:rsidRPr="00AF2D8C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4A5C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54A5C" w:rsidRPr="00AF2D8C">
              <w:rPr>
                <w:rFonts w:ascii="Arial" w:hAnsi="Arial" w:cs="Arial"/>
                <w:sz w:val="20"/>
                <w:szCs w:val="20"/>
              </w:rPr>
            </w:r>
            <w:r w:rsidR="00054A5C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4A5C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22D76" w:rsidRPr="00AF2D8C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Pohađanje nastave, sudjelovanje u rješavanju zadataka </w:t>
            </w:r>
          </w:p>
        </w:tc>
      </w:tr>
      <w:tr w:rsidR="00722D76" w:rsidRPr="00AF2D8C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0,5 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2D76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0,5 </w:t>
            </w:r>
            <w:r w:rsidR="00054A5C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54A5C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054A5C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4A5C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2D76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2D76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2D76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sz w:val="20"/>
                <w:szCs w:val="20"/>
              </w:rPr>
            </w:pPr>
            <w:r>
              <w:rPr>
                <w:rStyle w:val="hps"/>
                <w:rFonts w:ascii="Arial" w:hAnsi="Arial" w:cs="Arial"/>
                <w:sz w:val="20"/>
                <w:szCs w:val="20"/>
              </w:rPr>
              <w:t>*</w:t>
            </w:r>
            <w:r w:rsidRPr="00AF2D8C">
              <w:rPr>
                <w:rStyle w:val="hps"/>
                <w:rFonts w:ascii="Arial" w:hAnsi="Arial" w:cs="Arial"/>
                <w:sz w:val="20"/>
                <w:szCs w:val="20"/>
              </w:rPr>
              <w:t>Tijekom nastave studenti polažu dva testa. Studenti koji na testovima u prosjeku ostvare 75% bodova biti će oslobođeni pisanog dijela ispita. Položeni testovi preduvjet su za pristup  usmenom ispitu: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hps"/>
                <w:rFonts w:ascii="Arial" w:hAnsi="Arial" w:cs="Arial"/>
                <w:sz w:val="20"/>
                <w:szCs w:val="20"/>
              </w:rPr>
              <w:t>Ukupna ocjena zaključiti će se na temelju testova i usmenog dijela ispita, odnosno ako nije bilo položeno preko testova, uzet će se u obzir pismeni i usmeni dio ispita.</w:t>
            </w:r>
          </w:p>
        </w:tc>
      </w:tr>
      <w:tr w:rsidR="00722D76" w:rsidRPr="00AF2D8C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22D76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Grupa autora (2009): Računovodstvo neprofitnih organizacija s primjenom kontnog plana,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22D76" w:rsidRPr="00AF2D8C">
                <w:rPr>
                  <w:rStyle w:val="Hyperlink"/>
                  <w:rFonts w:ascii="Arial" w:hAnsi="Arial" w:cs="Arial"/>
                  <w:sz w:val="20"/>
                  <w:szCs w:val="20"/>
                </w:rPr>
                <w:t>www.efst.hr</w:t>
              </w:r>
            </w:hyperlink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22D76" w:rsidRPr="00AF2D8C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Časopis RIF, Zagreb, </w:t>
            </w:r>
            <w:r>
              <w:rPr>
                <w:rFonts w:ascii="Arial" w:hAnsi="Arial" w:cs="Arial"/>
                <w:sz w:val="20"/>
                <w:szCs w:val="20"/>
              </w:rPr>
              <w:t>br. 1-12</w:t>
            </w:r>
          </w:p>
          <w:p w:rsidR="00722D76" w:rsidRPr="00AF2D8C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Časopis RRIF, Zagreb, </w:t>
            </w:r>
            <w:r>
              <w:rPr>
                <w:rFonts w:ascii="Arial" w:hAnsi="Arial" w:cs="Arial"/>
                <w:sz w:val="20"/>
                <w:szCs w:val="20"/>
              </w:rPr>
              <w:t>br. 1-12</w:t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722D76" w:rsidRPr="00AF2D8C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722D76" w:rsidRPr="00AF2D8C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722D76" w:rsidRPr="00AF2D8C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22D76" w:rsidRPr="00AF2D8C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22D76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2D76" w:rsidRPr="00AF2D8C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2D76" w:rsidRPr="00AF2D8C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E63" w:rsidRDefault="00111E63" w:rsidP="00722D76">
      <w:pPr>
        <w:spacing w:after="0" w:line="240" w:lineRule="auto"/>
      </w:pPr>
      <w:r>
        <w:separator/>
      </w:r>
    </w:p>
  </w:endnote>
  <w:endnote w:type="continuationSeparator" w:id="0">
    <w:p w:rsidR="00111E63" w:rsidRDefault="00111E63" w:rsidP="0072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E63" w:rsidRDefault="00111E63" w:rsidP="00722D76">
      <w:pPr>
        <w:spacing w:after="0" w:line="240" w:lineRule="auto"/>
      </w:pPr>
      <w:r>
        <w:separator/>
      </w:r>
    </w:p>
  </w:footnote>
  <w:footnote w:type="continuationSeparator" w:id="0">
    <w:p w:rsidR="00111E63" w:rsidRDefault="00111E63" w:rsidP="0072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A0B04"/>
    <w:multiLevelType w:val="hybridMultilevel"/>
    <w:tmpl w:val="82744586"/>
    <w:lvl w:ilvl="0" w:tplc="B26C5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2D76"/>
    <w:rsid w:val="00004DF5"/>
    <w:rsid w:val="00054A5C"/>
    <w:rsid w:val="0007423E"/>
    <w:rsid w:val="00111E63"/>
    <w:rsid w:val="00722D76"/>
    <w:rsid w:val="00873127"/>
    <w:rsid w:val="00CB5715"/>
    <w:rsid w:val="00F3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D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22D7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22D7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722D76"/>
    <w:rPr>
      <w:rFonts w:cs="Times New Roman"/>
      <w:color w:val="0563C1"/>
      <w:u w:val="single"/>
    </w:rPr>
  </w:style>
  <w:style w:type="character" w:customStyle="1" w:styleId="hps">
    <w:name w:val="hps"/>
    <w:basedOn w:val="DefaultParagraphFont"/>
    <w:rsid w:val="00722D76"/>
  </w:style>
  <w:style w:type="paragraph" w:styleId="Header">
    <w:name w:val="header"/>
    <w:basedOn w:val="Normal"/>
    <w:link w:val="HeaderChar"/>
    <w:uiPriority w:val="99"/>
    <w:semiHidden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2D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2D7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4</cp:revision>
  <cp:lastPrinted>2018-07-04T07:00:00Z</cp:lastPrinted>
  <dcterms:created xsi:type="dcterms:W3CDTF">2018-07-04T06:57:00Z</dcterms:created>
  <dcterms:modified xsi:type="dcterms:W3CDTF">2018-07-04T07:05:00Z</dcterms:modified>
</cp:coreProperties>
</file>